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057C56" w:rsidRPr="00057C56" w14:paraId="564F5423" w14:textId="77777777">
        <w:trPr>
          <w:jc w:val="center"/>
        </w:trPr>
        <w:tc>
          <w:tcPr>
            <w:tcW w:w="5000" w:type="pct"/>
            <w:shd w:val="clear" w:color="auto" w:fill="FFFFFF"/>
            <w:tcMar>
              <w:top w:w="300" w:type="dxa"/>
              <w:left w:w="300" w:type="dxa"/>
              <w:bottom w:w="300" w:type="dxa"/>
              <w:right w:w="300" w:type="dxa"/>
            </w:tcMar>
            <w:hideMark/>
          </w:tcPr>
          <w:tbl>
            <w:tblPr>
              <w:tblW w:w="9000" w:type="dxa"/>
              <w:jc w:val="center"/>
              <w:tblCellMar>
                <w:left w:w="0" w:type="dxa"/>
                <w:right w:w="0" w:type="dxa"/>
              </w:tblCellMar>
              <w:tblLook w:val="04A0" w:firstRow="1" w:lastRow="0" w:firstColumn="1" w:lastColumn="0" w:noHBand="0" w:noVBand="1"/>
            </w:tblPr>
            <w:tblGrid>
              <w:gridCol w:w="8426"/>
            </w:tblGrid>
            <w:tr w:rsidR="00057C56" w:rsidRPr="00057C56" w14:paraId="1B51EE6C" w14:textId="77777777">
              <w:trPr>
                <w:jc w:val="center"/>
              </w:trPr>
              <w:tc>
                <w:tcPr>
                  <w:tcW w:w="0" w:type="auto"/>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8426"/>
                  </w:tblGrid>
                  <w:tr w:rsidR="00057C56" w:rsidRPr="00057C56" w14:paraId="40220D73" w14:textId="77777777">
                    <w:trPr>
                      <w:jc w:val="center"/>
                    </w:trPr>
                    <w:tc>
                      <w:tcPr>
                        <w:tcW w:w="2070" w:type="dxa"/>
                        <w:tcBorders>
                          <w:top w:val="single" w:sz="2" w:space="0" w:color="auto"/>
                          <w:left w:val="nil"/>
                          <w:bottom w:val="single" w:sz="24" w:space="0" w:color="auto"/>
                          <w:right w:val="nil"/>
                        </w:tcBorders>
                        <w:shd w:val="clear" w:color="auto" w:fill="FFFFFF"/>
                        <w:tcMar>
                          <w:top w:w="57" w:type="dxa"/>
                          <w:left w:w="0" w:type="dxa"/>
                          <w:bottom w:w="113" w:type="dxa"/>
                          <w:right w:w="0" w:type="dxa"/>
                        </w:tcMar>
                        <w:hideMark/>
                      </w:tcPr>
                      <w:p w14:paraId="1D25A18C" w14:textId="191A970B" w:rsidR="00057C56" w:rsidRPr="00057C56" w:rsidRDefault="00057C56" w:rsidP="00057C56">
                        <w:pPr>
                          <w:jc w:val="center"/>
                          <w:rPr>
                            <w:rFonts w:ascii="Calibri" w:eastAsia="Times New Roman" w:hAnsi="Calibri" w:cs="Calibri"/>
                            <w:kern w:val="0"/>
                            <w:sz w:val="26"/>
                            <w:szCs w:val="26"/>
                            <w:lang w:eastAsia="en-GB"/>
                            <w14:ligatures w14:val="none"/>
                          </w:rPr>
                        </w:pPr>
                        <w:r w:rsidRPr="00057C56">
                          <w:rPr>
                            <w:rFonts w:ascii="Lato Black" w:eastAsia="Times New Roman" w:hAnsi="Lato Black" w:cs="Calibri"/>
                            <w:b/>
                            <w:bCs/>
                            <w:caps/>
                            <w:noProof/>
                            <w:color w:val="2B2B2B"/>
                            <w:kern w:val="0"/>
                            <w:sz w:val="21"/>
                            <w:szCs w:val="21"/>
                            <w:lang w:eastAsia="en-GB"/>
                            <w14:ligatures w14:val="none"/>
                          </w:rPr>
                          <w:drawing>
                            <wp:inline distT="0" distB="0" distL="0" distR="0" wp14:anchorId="1D45B774" wp14:editId="50AD080C">
                              <wp:extent cx="5731510" cy="4300220"/>
                              <wp:effectExtent l="0" t="0" r="0" b="0"/>
                              <wp:docPr id="2011843577" name="Picture 4" descr="TheFlave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5" descr="TheFlav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300220"/>
                                      </a:xfrm>
                                      <a:prstGeom prst="rect">
                                        <a:avLst/>
                                      </a:prstGeom>
                                      <a:noFill/>
                                      <a:ln>
                                        <a:noFill/>
                                      </a:ln>
                                    </pic:spPr>
                                  </pic:pic>
                                </a:graphicData>
                              </a:graphic>
                            </wp:inline>
                          </w:drawing>
                        </w:r>
                      </w:p>
                      <w:p w14:paraId="47B32F15" w14:textId="77777777" w:rsidR="00057C56" w:rsidRPr="00057C56" w:rsidRDefault="00057C56" w:rsidP="00057C56">
                        <w:pPr>
                          <w:jc w:val="center"/>
                          <w:rPr>
                            <w:rFonts w:ascii="Calibri" w:eastAsia="Times New Roman" w:hAnsi="Calibri" w:cs="Calibri"/>
                            <w:kern w:val="0"/>
                            <w:sz w:val="26"/>
                            <w:szCs w:val="26"/>
                            <w:lang w:eastAsia="en-GB"/>
                            <w14:ligatures w14:val="none"/>
                          </w:rPr>
                        </w:pPr>
                        <w:r w:rsidRPr="00057C56">
                          <w:rPr>
                            <w:rFonts w:ascii="Lato Black" w:eastAsia="Times New Roman" w:hAnsi="Lato Black" w:cs="Calibri"/>
                            <w:color w:val="2B2B2B"/>
                            <w:kern w:val="0"/>
                            <w:sz w:val="16"/>
                            <w:szCs w:val="16"/>
                            <w:lang w:eastAsia="en-GB"/>
                            <w14:ligatures w14:val="none"/>
                          </w:rPr>
                          <w:t>Flavel Place | Dartmouth | TQ6 9ND | 01803 839530</w:t>
                        </w:r>
                      </w:p>
                    </w:tc>
                  </w:tr>
                </w:tbl>
                <w:p w14:paraId="756ABFED" w14:textId="77777777" w:rsidR="00057C56" w:rsidRPr="00057C56" w:rsidRDefault="00057C56" w:rsidP="00057C56">
                  <w:pPr>
                    <w:jc w:val="center"/>
                    <w:rPr>
                      <w:rFonts w:ascii="Times New Roman" w:eastAsia="Times New Roman" w:hAnsi="Times New Roman" w:cs="Times New Roman"/>
                      <w:kern w:val="0"/>
                      <w:lang w:eastAsia="en-GB"/>
                      <w14:ligatures w14:val="none"/>
                    </w:rPr>
                  </w:pPr>
                </w:p>
              </w:tc>
            </w:tr>
            <w:tr w:rsidR="00057C56" w:rsidRPr="00057C56" w14:paraId="22443F60"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8426"/>
                  </w:tblGrid>
                  <w:tr w:rsidR="00057C56" w:rsidRPr="00057C56" w14:paraId="40810CAF" w14:textId="77777777">
                    <w:trPr>
                      <w:jc w:val="center"/>
                    </w:trPr>
                    <w:tc>
                      <w:tcPr>
                        <w:tcW w:w="0" w:type="auto"/>
                        <w:tcMar>
                          <w:top w:w="450" w:type="dxa"/>
                          <w:left w:w="0" w:type="dxa"/>
                          <w:bottom w:w="125" w:type="dxa"/>
                          <w:right w:w="0" w:type="dxa"/>
                        </w:tcMar>
                        <w:hideMark/>
                      </w:tcPr>
                      <w:p w14:paraId="31345A82" w14:textId="77777777" w:rsidR="00057C56" w:rsidRPr="00057C56" w:rsidRDefault="00057C56" w:rsidP="00057C56">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p>
                    </w:tc>
                  </w:tr>
                </w:tbl>
                <w:p w14:paraId="31D07F26" w14:textId="77777777" w:rsidR="00057C56" w:rsidRPr="00057C56" w:rsidRDefault="00057C56" w:rsidP="00057C56">
                  <w:pPr>
                    <w:jc w:val="center"/>
                    <w:rPr>
                      <w:rFonts w:ascii="Times New Roman" w:eastAsia="Times New Roman" w:hAnsi="Times New Roman" w:cs="Times New Roman"/>
                      <w:vanish/>
                      <w:kern w:val="0"/>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6"/>
                    <w:gridCol w:w="8420"/>
                  </w:tblGrid>
                  <w:tr w:rsidR="00057C56" w:rsidRPr="00057C56" w14:paraId="732F36D1" w14:textId="77777777">
                    <w:trPr>
                      <w:jc w:val="center"/>
                    </w:trPr>
                    <w:tc>
                      <w:tcPr>
                        <w:tcW w:w="0" w:type="auto"/>
                        <w:tcBorders>
                          <w:top w:val="nil"/>
                          <w:left w:val="nil"/>
                          <w:bottom w:val="single" w:sz="24" w:space="0" w:color="auto"/>
                          <w:right w:val="nil"/>
                        </w:tcBorders>
                        <w:tcMar>
                          <w:top w:w="0" w:type="dxa"/>
                          <w:left w:w="0" w:type="dxa"/>
                          <w:bottom w:w="200" w:type="dxa"/>
                          <w:right w:w="0" w:type="dxa"/>
                        </w:tcMar>
                        <w:hideMark/>
                      </w:tcPr>
                      <w:p w14:paraId="26AAAC06" w14:textId="77777777" w:rsidR="00057C56" w:rsidRPr="00057C56" w:rsidRDefault="00057C56" w:rsidP="00057C56">
                        <w:pPr>
                          <w:rPr>
                            <w:rFonts w:ascii="Times New Roman" w:eastAsia="Times New Roman" w:hAnsi="Times New Roman" w:cs="Times New Roman"/>
                            <w:kern w:val="0"/>
                            <w:lang w:eastAsia="en-GB"/>
                            <w14:ligatures w14:val="none"/>
                          </w:rPr>
                        </w:pPr>
                      </w:p>
                    </w:tc>
                    <w:tc>
                      <w:tcPr>
                        <w:tcW w:w="0" w:type="auto"/>
                        <w:vAlign w:val="center"/>
                        <w:hideMark/>
                      </w:tcPr>
                      <w:p w14:paraId="7C962623" w14:textId="77777777" w:rsidR="00057C56" w:rsidRPr="00057C56" w:rsidRDefault="00057C56" w:rsidP="00057C56">
                        <w:pPr>
                          <w:spacing w:line="360" w:lineRule="atLeast"/>
                          <w:jc w:val="center"/>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b/>
                            <w:bCs/>
                            <w:color w:val="000000"/>
                            <w:kern w:val="0"/>
                            <w:lang w:val="en-US" w:eastAsia="en-GB"/>
                            <w14:ligatures w14:val="none"/>
                          </w:rPr>
                          <w:t>FRIENDS OF THE FLAVEL - NEWS OF THE FLAVEL FOREVER CAMPAIGN</w:t>
                        </w:r>
                      </w:p>
                      <w:p w14:paraId="27420341"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p>
                      <w:p w14:paraId="2A8395E1"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Firstly, thank you for being a Friend of the Flavel – your support is much appreciated and is an important part of our financial planning. </w:t>
                        </w:r>
                      </w:p>
                      <w:p w14:paraId="1519943C"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    </w:t>
                        </w:r>
                      </w:p>
                      <w:p w14:paraId="11587DD1"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 xml:space="preserve">We’re taking the opportunity to update all Friends about the first year of Flavel Forever as so much has happened and good progress has been made, which we’d like to celebrate.  We know that many Friends already support the Flavel Forever campaign, and so this </w:t>
                        </w:r>
                        <w:proofErr w:type="gramStart"/>
                        <w:r w:rsidRPr="00057C56">
                          <w:rPr>
                            <w:rFonts w:ascii="Calibri" w:eastAsia="Times New Roman" w:hAnsi="Calibri" w:cs="Calibri"/>
                            <w:color w:val="000000"/>
                            <w:kern w:val="0"/>
                            <w:sz w:val="26"/>
                            <w:szCs w:val="26"/>
                            <w:lang w:val="en-US" w:eastAsia="en-GB"/>
                            <w14:ligatures w14:val="none"/>
                          </w:rPr>
                          <w:t>is will keep</w:t>
                        </w:r>
                        <w:proofErr w:type="gramEnd"/>
                        <w:r w:rsidRPr="00057C56">
                          <w:rPr>
                            <w:rFonts w:ascii="Calibri" w:eastAsia="Times New Roman" w:hAnsi="Calibri" w:cs="Calibri"/>
                            <w:color w:val="000000"/>
                            <w:kern w:val="0"/>
                            <w:sz w:val="26"/>
                            <w:szCs w:val="26"/>
                            <w:lang w:val="en-US" w:eastAsia="en-GB"/>
                            <w14:ligatures w14:val="none"/>
                          </w:rPr>
                          <w:t xml:space="preserve"> them up to speed with the difference their contribution is </w:t>
                        </w:r>
                        <w:proofErr w:type="gramStart"/>
                        <w:r w:rsidRPr="00057C56">
                          <w:rPr>
                            <w:rFonts w:ascii="Calibri" w:eastAsia="Times New Roman" w:hAnsi="Calibri" w:cs="Calibri"/>
                            <w:color w:val="000000"/>
                            <w:kern w:val="0"/>
                            <w:sz w:val="26"/>
                            <w:szCs w:val="26"/>
                            <w:lang w:val="en-US" w:eastAsia="en-GB"/>
                            <w14:ligatures w14:val="none"/>
                          </w:rPr>
                          <w:t>making,  For</w:t>
                        </w:r>
                        <w:proofErr w:type="gramEnd"/>
                        <w:r w:rsidRPr="00057C56">
                          <w:rPr>
                            <w:rFonts w:ascii="Calibri" w:eastAsia="Times New Roman" w:hAnsi="Calibri" w:cs="Calibri"/>
                            <w:color w:val="000000"/>
                            <w:kern w:val="0"/>
                            <w:sz w:val="26"/>
                            <w:szCs w:val="26"/>
                            <w:lang w:val="en-US" w:eastAsia="en-GB"/>
                            <w14:ligatures w14:val="none"/>
                          </w:rPr>
                          <w:t xml:space="preserve"> those of you who are not already supporters, hopeful this will clarify the difference Flavel Forever is making and might encourage you to become a supporter too! </w:t>
                        </w:r>
                      </w:p>
                      <w:p w14:paraId="0ADF815D"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p>
                      <w:p w14:paraId="3B72765F"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lastRenderedPageBreak/>
                          <w:t xml:space="preserve">So, Flavel Forever has raised £55,000 this year, and </w:t>
                        </w:r>
                        <w:proofErr w:type="gramStart"/>
                        <w:r w:rsidRPr="00057C56">
                          <w:rPr>
                            <w:rFonts w:ascii="Calibri" w:eastAsia="Times New Roman" w:hAnsi="Calibri" w:cs="Calibri"/>
                            <w:color w:val="000000"/>
                            <w:kern w:val="0"/>
                            <w:sz w:val="26"/>
                            <w:szCs w:val="26"/>
                            <w:lang w:val="en-US" w:eastAsia="en-GB"/>
                            <w14:ligatures w14:val="none"/>
                          </w:rPr>
                          <w:t>each and every</w:t>
                        </w:r>
                        <w:proofErr w:type="gramEnd"/>
                        <w:r w:rsidRPr="00057C56">
                          <w:rPr>
                            <w:rFonts w:ascii="Calibri" w:eastAsia="Times New Roman" w:hAnsi="Calibri" w:cs="Calibri"/>
                            <w:color w:val="000000"/>
                            <w:kern w:val="0"/>
                            <w:sz w:val="26"/>
                            <w:szCs w:val="26"/>
                            <w:lang w:val="en-US" w:eastAsia="en-GB"/>
                            <w14:ligatures w14:val="none"/>
                          </w:rPr>
                          <w:t xml:space="preserve"> contribution has made a difference. It has shown that this place matters, that it has a future, and that our community is willing to help secure it. </w:t>
                        </w:r>
                      </w:p>
                      <w:p w14:paraId="3133ED15"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p>
                      <w:p w14:paraId="301B1EEA"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b/>
                            <w:bCs/>
                            <w:color w:val="000000"/>
                            <w:kern w:val="0"/>
                            <w:sz w:val="26"/>
                            <w:szCs w:val="26"/>
                            <w:lang w:val="en-US" w:eastAsia="en-GB"/>
                            <w14:ligatures w14:val="none"/>
                          </w:rPr>
                          <w:t>What is Flavel Forever?</w:t>
                        </w:r>
                      </w:p>
                      <w:p w14:paraId="1B7DBA25"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We’d like to start by reminding everyone about Flavel Forever and exactly what it is: it’s our </w:t>
                        </w:r>
                        <w:r w:rsidRPr="00057C56">
                          <w:rPr>
                            <w:rFonts w:ascii="Calibri" w:eastAsia="Times New Roman" w:hAnsi="Calibri" w:cs="Calibri"/>
                            <w:color w:val="000000"/>
                            <w:kern w:val="0"/>
                            <w:sz w:val="26"/>
                            <w:szCs w:val="26"/>
                            <w:u w:val="single"/>
                            <w:lang w:val="en-US" w:eastAsia="en-GB"/>
                            <w14:ligatures w14:val="none"/>
                          </w:rPr>
                          <w:t>five-year campaign to build financial resilience</w:t>
                        </w:r>
                        <w:r w:rsidRPr="00057C56">
                          <w:rPr>
                            <w:rFonts w:ascii="Calibri" w:eastAsia="Times New Roman" w:hAnsi="Calibri" w:cs="Calibri"/>
                            <w:color w:val="000000"/>
                            <w:kern w:val="0"/>
                            <w:sz w:val="26"/>
                            <w:szCs w:val="26"/>
                            <w:lang w:val="en-US" w:eastAsia="en-GB"/>
                            <w14:ligatures w14:val="none"/>
                          </w:rPr>
                          <w:t>, secure the Flavel’s long-term future and ensure it remains a vibrant community space for everyone in Dartmouth.  This newsletter looks back on the first year of our campaign to show progress made and where the campaign and the funds raised have made a real difference. </w:t>
                        </w:r>
                      </w:p>
                      <w:p w14:paraId="415AEDB1"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p>
                      <w:p w14:paraId="585D6761"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b/>
                            <w:bCs/>
                            <w:color w:val="000000"/>
                            <w:kern w:val="0"/>
                            <w:sz w:val="26"/>
                            <w:szCs w:val="26"/>
                            <w:lang w:val="en-US" w:eastAsia="en-GB"/>
                            <w14:ligatures w14:val="none"/>
                          </w:rPr>
                          <w:t>Flavel Forever Helps Us with Grants</w:t>
                        </w:r>
                      </w:p>
                      <w:p w14:paraId="1253EA67"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 xml:space="preserve">The Flavel Forever campaign has done far more than simply keep the doors open (though it did that too!). By strengthening our reserves, it has enabled us to fund essential projects and apply for grants that require matched funding. We have had some success with grants, but it remains a challenging route: of 13 applications, only 3 were successful. Many funders will not support projects that have already started, meaning we often </w:t>
                        </w:r>
                        <w:proofErr w:type="gramStart"/>
                        <w:r w:rsidRPr="00057C56">
                          <w:rPr>
                            <w:rFonts w:ascii="Calibri" w:eastAsia="Times New Roman" w:hAnsi="Calibri" w:cs="Calibri"/>
                            <w:color w:val="000000"/>
                            <w:kern w:val="0"/>
                            <w:sz w:val="26"/>
                            <w:szCs w:val="26"/>
                            <w:lang w:val="en-US" w:eastAsia="en-GB"/>
                            <w14:ligatures w14:val="none"/>
                          </w:rPr>
                          <w:t>have to</w:t>
                        </w:r>
                        <w:proofErr w:type="gramEnd"/>
                        <w:r w:rsidRPr="00057C56">
                          <w:rPr>
                            <w:rFonts w:ascii="Calibri" w:eastAsia="Times New Roman" w:hAnsi="Calibri" w:cs="Calibri"/>
                            <w:color w:val="000000"/>
                            <w:kern w:val="0"/>
                            <w:sz w:val="26"/>
                            <w:szCs w:val="26"/>
                            <w:lang w:val="en-US" w:eastAsia="en-GB"/>
                            <w14:ligatures w14:val="none"/>
                          </w:rPr>
                          <w:t xml:space="preserve"> pause or delay important work. It also provides the necessary matched funding for many grant applications. This is why we cannot rely on grants alone, and why Flavel Forever remains so important.</w:t>
                        </w:r>
                      </w:p>
                      <w:p w14:paraId="3854360E"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p>
                      <w:p w14:paraId="11AA7940"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b/>
                            <w:bCs/>
                            <w:color w:val="000000"/>
                            <w:kern w:val="0"/>
                            <w:sz w:val="26"/>
                            <w:szCs w:val="26"/>
                            <w:lang w:val="en-US" w:eastAsia="en-GB"/>
                            <w14:ligatures w14:val="none"/>
                          </w:rPr>
                          <w:t>Positive Impact of Flavel Forever</w:t>
                        </w:r>
                      </w:p>
                      <w:p w14:paraId="53FA4EA3"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Campaign funds and grant income have enabled us to cover restructuring costs and invest in essential improvements. The new environmental controls in the auditorium have noticeably improved visitor comfort. Our solar panels project is now under way and should be completed by the New Year. Once operational, they will start to reduce our £40,000 annual electricity bill—hopefully by as much as 25% (£10,000 p.a.). These improvements are practical, sustainable and long overdue, and your support has made them possible.</w:t>
                        </w:r>
                      </w:p>
                      <w:p w14:paraId="44A79A82"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p>
                      <w:p w14:paraId="6CDF3827"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b/>
                            <w:bCs/>
                            <w:color w:val="000000"/>
                            <w:kern w:val="0"/>
                            <w:sz w:val="26"/>
                            <w:szCs w:val="26"/>
                            <w:lang w:val="en-US" w:eastAsia="en-GB"/>
                            <w14:ligatures w14:val="none"/>
                          </w:rPr>
                          <w:t>New Projects in the Pipeline</w:t>
                        </w:r>
                      </w:p>
                      <w:p w14:paraId="4A7A2295"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 xml:space="preserve">We are developing a better online ticket-buying experience. This should go live in the New Year, with options for paper tickets and digital wallets likely to follow. As part of this work, we will combine our three separate purchasing </w:t>
                        </w:r>
                        <w:r w:rsidRPr="00057C56">
                          <w:rPr>
                            <w:rFonts w:ascii="Calibri" w:eastAsia="Times New Roman" w:hAnsi="Calibri" w:cs="Calibri"/>
                            <w:color w:val="000000"/>
                            <w:kern w:val="0"/>
                            <w:sz w:val="26"/>
                            <w:szCs w:val="26"/>
                            <w:lang w:val="en-US" w:eastAsia="en-GB"/>
                            <w14:ligatures w14:val="none"/>
                          </w:rPr>
                          <w:lastRenderedPageBreak/>
                          <w:t>systems (ticketing, café and bar) into a single platform. This will reduce costs and improve accuracy—and the savings alone will cover the investment in the new system and printers.</w:t>
                        </w:r>
                      </w:p>
                      <w:p w14:paraId="4A8D960E"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p>
                      <w:p w14:paraId="34C26E74"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b/>
                            <w:bCs/>
                            <w:color w:val="000000"/>
                            <w:kern w:val="0"/>
                            <w:sz w:val="26"/>
                            <w:szCs w:val="26"/>
                            <w:lang w:val="en-US" w:eastAsia="en-GB"/>
                            <w14:ligatures w14:val="none"/>
                          </w:rPr>
                          <w:t>20 Years of Wear and Tear – Flavel Forever Is Invaluable Here Too</w:t>
                        </w:r>
                      </w:p>
                      <w:p w14:paraId="22142A0A"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After 20 years of continuous use, the Flavel needs ongoing investment simply to stay safe and functional. Flavel Forever allows us to replace essential equipment without waiting for grant approval. Current priorities include fire evacuation equipment, smoke detectors, fire extinguishers, refrigeration units, Velux window replacements, a new coffee grinder, café flooring and urgently needed air-conditioning for the café—which had to close several times this year due to high temperatures. We also need new strip lights, a re-painted bar, and more chairs. These are not glamorous projects, but they are vital.</w:t>
                        </w:r>
                      </w:p>
                      <w:p w14:paraId="7A9D8990"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p>
                      <w:p w14:paraId="08B3418B"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b/>
                            <w:bCs/>
                            <w:color w:val="000000"/>
                            <w:kern w:val="0"/>
                            <w:sz w:val="26"/>
                            <w:szCs w:val="26"/>
                            <w:lang w:val="en-US" w:eastAsia="en-GB"/>
                            <w14:ligatures w14:val="none"/>
                          </w:rPr>
                          <w:t>New Ways of Working with People</w:t>
                        </w:r>
                      </w:p>
                      <w:p w14:paraId="5FE61815"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This year we introduced a new way of organising our teams. The Trustee Board expanded to 11 members, each taking responsibility for a specific area and supporting staff on key projects. Staffing levels have been restructured to be financially sustainable. We have introduced volunteer Associates who bring specific expertise to individual projects, and we are involving younger people wherever possible, giving them experience in creative development and social media marketing.</w:t>
                        </w:r>
                      </w:p>
                      <w:p w14:paraId="1936CC60"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p>
                      <w:p w14:paraId="664B442F"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b/>
                            <w:bCs/>
                            <w:color w:val="000000"/>
                            <w:kern w:val="0"/>
                            <w:sz w:val="26"/>
                            <w:szCs w:val="26"/>
                            <w:lang w:val="en-US" w:eastAsia="en-GB"/>
                            <w14:ligatures w14:val="none"/>
                          </w:rPr>
                          <w:t>Helping volunteers give their best and enjoy their time at the Flavel</w:t>
                        </w:r>
                      </w:p>
                      <w:p w14:paraId="70839996"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Following a volunteer survey, we have made improvements based on the feedback received. Volunteers asked for more varied roles, clearer training and a more engaging experience. In response, we have started running social events and are introducing a volunteer loyalty scheme that will offer free cinema tickets. You may have seen our recent advert—if you or someone you know would like to get involved, we’d be delighted to hear from you.</w:t>
                        </w:r>
                      </w:p>
                      <w:p w14:paraId="03A7F985"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p>
                      <w:p w14:paraId="5E1C17B1"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b/>
                            <w:bCs/>
                            <w:color w:val="000000"/>
                            <w:kern w:val="0"/>
                            <w:sz w:val="26"/>
                            <w:szCs w:val="26"/>
                            <w:lang w:val="en-US" w:eastAsia="en-GB"/>
                            <w14:ligatures w14:val="none"/>
                          </w:rPr>
                          <w:t>Community Engagement</w:t>
                        </w:r>
                      </w:p>
                      <w:p w14:paraId="76C5B9DD"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 xml:space="preserve">Since Michael’s arrival, we have increased our community outreach, through </w:t>
                        </w:r>
                        <w:proofErr w:type="gramStart"/>
                        <w:r w:rsidRPr="00057C56">
                          <w:rPr>
                            <w:rFonts w:ascii="Calibri" w:eastAsia="Times New Roman" w:hAnsi="Calibri" w:cs="Calibri"/>
                            <w:color w:val="000000"/>
                            <w:kern w:val="0"/>
                            <w:sz w:val="26"/>
                            <w:szCs w:val="26"/>
                            <w:lang w:val="en-US" w:eastAsia="en-GB"/>
                            <w14:ligatures w14:val="none"/>
                          </w:rPr>
                          <w:t>a number of</w:t>
                        </w:r>
                        <w:proofErr w:type="gramEnd"/>
                        <w:r w:rsidRPr="00057C56">
                          <w:rPr>
                            <w:rFonts w:ascii="Calibri" w:eastAsia="Times New Roman" w:hAnsi="Calibri" w:cs="Calibri"/>
                            <w:color w:val="000000"/>
                            <w:kern w:val="0"/>
                            <w:sz w:val="26"/>
                            <w:szCs w:val="26"/>
                            <w:lang w:val="en-US" w:eastAsia="en-GB"/>
                            <w14:ligatures w14:val="none"/>
                          </w:rPr>
                          <w:t xml:space="preserve"> different approaches. We continue to work with Dartmouth care homes such as the Fleet, on projects like the Thursday Dartmouth Dawdle—a gentle stroll or “roll” along the embankment, ending with coffee in the Flavel </w:t>
                        </w:r>
                        <w:r w:rsidRPr="00057C56">
                          <w:rPr>
                            <w:rFonts w:ascii="Calibri" w:eastAsia="Times New Roman" w:hAnsi="Calibri" w:cs="Calibri"/>
                            <w:color w:val="000000"/>
                            <w:kern w:val="0"/>
                            <w:sz w:val="26"/>
                            <w:szCs w:val="26"/>
                            <w:lang w:val="en-US" w:eastAsia="en-GB"/>
                            <w14:ligatures w14:val="none"/>
                          </w:rPr>
                          <w:lastRenderedPageBreak/>
                          <w:t xml:space="preserve">lounge. This weekly event has become a valued part of the week for many participants since it was </w:t>
                        </w:r>
                        <w:proofErr w:type="gramStart"/>
                        <w:r w:rsidRPr="00057C56">
                          <w:rPr>
                            <w:rFonts w:ascii="Calibri" w:eastAsia="Times New Roman" w:hAnsi="Calibri" w:cs="Calibri"/>
                            <w:color w:val="000000"/>
                            <w:kern w:val="0"/>
                            <w:sz w:val="26"/>
                            <w:szCs w:val="26"/>
                            <w:lang w:val="en-US" w:eastAsia="en-GB"/>
                            <w14:ligatures w14:val="none"/>
                          </w:rPr>
                          <w:t>launched</w:t>
                        </w:r>
                        <w:proofErr w:type="gramEnd"/>
                        <w:r w:rsidRPr="00057C56">
                          <w:rPr>
                            <w:rFonts w:ascii="Calibri" w:eastAsia="Times New Roman" w:hAnsi="Calibri" w:cs="Calibri"/>
                            <w:color w:val="000000"/>
                            <w:kern w:val="0"/>
                            <w:sz w:val="26"/>
                            <w:szCs w:val="26"/>
                            <w:lang w:val="en-US" w:eastAsia="en-GB"/>
                            <w14:ligatures w14:val="none"/>
                          </w:rPr>
                          <w:t xml:space="preserve"> and it seems to be increasingly popular </w:t>
                        </w:r>
                        <w:proofErr w:type="gramStart"/>
                        <w:r w:rsidRPr="00057C56">
                          <w:rPr>
                            <w:rFonts w:ascii="Calibri" w:eastAsia="Times New Roman" w:hAnsi="Calibri" w:cs="Calibri"/>
                            <w:color w:val="000000"/>
                            <w:kern w:val="0"/>
                            <w:sz w:val="26"/>
                            <w:szCs w:val="26"/>
                            <w:lang w:val="en-US" w:eastAsia="en-GB"/>
                            <w14:ligatures w14:val="none"/>
                          </w:rPr>
                          <w:t>as a way to</w:t>
                        </w:r>
                        <w:proofErr w:type="gramEnd"/>
                        <w:r w:rsidRPr="00057C56">
                          <w:rPr>
                            <w:rFonts w:ascii="Calibri" w:eastAsia="Times New Roman" w:hAnsi="Calibri" w:cs="Calibri"/>
                            <w:color w:val="000000"/>
                            <w:kern w:val="0"/>
                            <w:sz w:val="26"/>
                            <w:szCs w:val="26"/>
                            <w:lang w:val="en-US" w:eastAsia="en-GB"/>
                            <w14:ligatures w14:val="none"/>
                          </w:rPr>
                          <w:t xml:space="preserve"> connect and keep in touch with others.</w:t>
                        </w:r>
                      </w:p>
                      <w:p w14:paraId="1A7847F3"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b/>
                            <w:bCs/>
                            <w:color w:val="000000"/>
                            <w:kern w:val="0"/>
                            <w:sz w:val="26"/>
                            <w:szCs w:val="26"/>
                            <w:lang w:val="en-US" w:eastAsia="en-GB"/>
                            <w14:ligatures w14:val="none"/>
                          </w:rPr>
                          <w:t> </w:t>
                        </w:r>
                      </w:p>
                      <w:p w14:paraId="136D0813"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b/>
                            <w:bCs/>
                            <w:color w:val="000000"/>
                            <w:kern w:val="0"/>
                            <w:sz w:val="26"/>
                            <w:szCs w:val="26"/>
                            <w:lang w:val="en-US" w:eastAsia="en-GB"/>
                            <w14:ligatures w14:val="none"/>
                          </w:rPr>
                          <w:t>More for Families</w:t>
                        </w:r>
                      </w:p>
                      <w:p w14:paraId="58DB8FBA"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With Dartmouth Community Chest, we’ve also introduced Family Screenings of new film releases in a relaxed and welcoming environment for families with young children.</w:t>
                        </w:r>
                      </w:p>
                      <w:p w14:paraId="7A25AFB4"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p>
                      <w:p w14:paraId="12D28421"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b/>
                            <w:bCs/>
                            <w:color w:val="000000"/>
                            <w:kern w:val="0"/>
                            <w:sz w:val="26"/>
                            <w:szCs w:val="26"/>
                            <w:lang w:val="en-US" w:eastAsia="en-GB"/>
                            <w14:ligatures w14:val="none"/>
                          </w:rPr>
                          <w:t>More for Young People</w:t>
                        </w:r>
                      </w:p>
                      <w:p w14:paraId="3123A3A8"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We have regular film nights planned with Dartmouth Youth Club and are exploring DJ and music-making workshops for the coming year.</w:t>
                        </w:r>
                      </w:p>
                      <w:p w14:paraId="3F4A2A50"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p>
                      <w:p w14:paraId="1B462771"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b/>
                            <w:bCs/>
                            <w:color w:val="000000"/>
                            <w:kern w:val="0"/>
                            <w:sz w:val="26"/>
                            <w:szCs w:val="26"/>
                            <w:lang w:val="en-US" w:eastAsia="en-GB"/>
                            <w14:ligatures w14:val="none"/>
                          </w:rPr>
                          <w:t>Working with the Academy</w:t>
                        </w:r>
                      </w:p>
                      <w:p w14:paraId="6D63CE80"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We are collaborating with the school and the Museum to help pupils learn more about local history, starting with the stories of Newcomen and the Mayflower.</w:t>
                        </w:r>
                      </w:p>
                      <w:p w14:paraId="28F5E409"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p>
                      <w:p w14:paraId="7C39F785"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b/>
                            <w:bCs/>
                            <w:color w:val="000000"/>
                            <w:kern w:val="0"/>
                            <w:sz w:val="26"/>
                            <w:szCs w:val="26"/>
                            <w:lang w:val="en-US" w:eastAsia="en-GB"/>
                            <w14:ligatures w14:val="none"/>
                          </w:rPr>
                          <w:t>Discounted Tickets</w:t>
                        </w:r>
                      </w:p>
                      <w:p w14:paraId="56D9A9BE"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We want to make the Flavel accessible to people who may currently feel excluded. Flavel Forever helps us offer discounted tickets to those who need them most by protecting our reserves.</w:t>
                        </w:r>
                      </w:p>
                      <w:p w14:paraId="7751C4BF"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p>
                      <w:p w14:paraId="16F5D4B7"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b/>
                            <w:bCs/>
                            <w:color w:val="000000"/>
                            <w:kern w:val="0"/>
                            <w:sz w:val="26"/>
                            <w:szCs w:val="26"/>
                            <w:lang w:val="en-US" w:eastAsia="en-GB"/>
                            <w14:ligatures w14:val="none"/>
                          </w:rPr>
                          <w:t>Collaboration with the Library</w:t>
                        </w:r>
                      </w:p>
                      <w:p w14:paraId="6FEE37BC"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 xml:space="preserve">Our relationship with Libraries Unlimited continues to strengthen, and we’re now developing joint approaches for grant applications. The </w:t>
                        </w:r>
                        <w:proofErr w:type="gramStart"/>
                        <w:r w:rsidRPr="00057C56">
                          <w:rPr>
                            <w:rFonts w:ascii="Calibri" w:eastAsia="Times New Roman" w:hAnsi="Calibri" w:cs="Calibri"/>
                            <w:color w:val="000000"/>
                            <w:kern w:val="0"/>
                            <w:sz w:val="26"/>
                            <w:szCs w:val="26"/>
                            <w:lang w:val="en-US" w:eastAsia="en-GB"/>
                            <w14:ligatures w14:val="none"/>
                          </w:rPr>
                          <w:t>Library</w:t>
                        </w:r>
                        <w:proofErr w:type="gramEnd"/>
                        <w:r w:rsidRPr="00057C56">
                          <w:rPr>
                            <w:rFonts w:ascii="Calibri" w:eastAsia="Times New Roman" w:hAnsi="Calibri" w:cs="Calibri"/>
                            <w:color w:val="000000"/>
                            <w:kern w:val="0"/>
                            <w:sz w:val="26"/>
                            <w:szCs w:val="26"/>
                            <w:lang w:val="en-US" w:eastAsia="en-GB"/>
                            <w14:ligatures w14:val="none"/>
                          </w:rPr>
                          <w:t xml:space="preserve"> team collaborated closely with us on the Book Festival, and together we have plans to improve access and upgrade facilities. We also have an exciting “reading aloud” theatre project planned for 2026.</w:t>
                        </w:r>
                      </w:p>
                      <w:p w14:paraId="20DD1D89"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p>
                      <w:p w14:paraId="5DC2DC85"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b/>
                            <w:bCs/>
                            <w:color w:val="000000"/>
                            <w:kern w:val="0"/>
                            <w:sz w:val="26"/>
                            <w:szCs w:val="26"/>
                            <w:lang w:val="en-US" w:eastAsia="en-GB"/>
                            <w14:ligatures w14:val="none"/>
                          </w:rPr>
                          <w:t>Our Programme Is Expanding and Audiences Are Up by 15%</w:t>
                        </w:r>
                      </w:p>
                      <w:p w14:paraId="1792CCA9"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 xml:space="preserve">Our aim is to make the Flavel a place for everyone. Although cinema audiences have fallen nationally, we have expanded our live events programme with more classical, folk and rock performances, along with our popular tribute band evenings. The café now plays an active role in the programme, with many events beginning with a shared meal. Dartmouth’s reputation for lively cultural </w:t>
                        </w:r>
                        <w:r w:rsidRPr="00057C56">
                          <w:rPr>
                            <w:rFonts w:ascii="Calibri" w:eastAsia="Times New Roman" w:hAnsi="Calibri" w:cs="Calibri"/>
                            <w:color w:val="000000"/>
                            <w:kern w:val="0"/>
                            <w:sz w:val="26"/>
                            <w:szCs w:val="26"/>
                            <w:lang w:val="en-US" w:eastAsia="en-GB"/>
                            <w14:ligatures w14:val="none"/>
                          </w:rPr>
                          <w:lastRenderedPageBreak/>
                          <w:t>activity continues to grow, supported by this year’s well-attended Book Festival.</w:t>
                        </w:r>
                      </w:p>
                      <w:p w14:paraId="75C229E9"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Next year looks even more exciting, with up to twice as many live events planned across a broader range of genres. We are also exploring new daytime uses for the building—including potential conference partnerships with local hotels.</w:t>
                        </w:r>
                      </w:p>
                      <w:p w14:paraId="34CECA87"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p>
                      <w:p w14:paraId="7C3C72AF"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b/>
                            <w:bCs/>
                            <w:color w:val="000000"/>
                            <w:kern w:val="0"/>
                            <w:sz w:val="26"/>
                            <w:szCs w:val="26"/>
                            <w:lang w:val="en-US" w:eastAsia="en-GB"/>
                            <w14:ligatures w14:val="none"/>
                          </w:rPr>
                          <w:t>We’re Financially More Secure Now</w:t>
                        </w:r>
                      </w:p>
                      <w:p w14:paraId="36089504"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Our financial structure is more sustainable, and our reserves are moving steadily towards our next milestone: £100,000, on the path to our long-term target of £250,000.</w:t>
                        </w:r>
                      </w:p>
                      <w:p w14:paraId="02499499"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p>
                      <w:p w14:paraId="5BD65266"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b/>
                            <w:bCs/>
                            <w:color w:val="000000"/>
                            <w:kern w:val="0"/>
                            <w:sz w:val="26"/>
                            <w:szCs w:val="26"/>
                            <w:lang w:val="en-US" w:eastAsia="en-GB"/>
                            <w14:ligatures w14:val="none"/>
                          </w:rPr>
                          <w:t>How Do We Do Even Better in 2026?</w:t>
                        </w:r>
                      </w:p>
                      <w:p w14:paraId="48240253"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To meet our business plan targets, we still need £75,000 a year in donations from </w:t>
                        </w:r>
                        <w:hyperlink r:id="rId6" w:history="1">
                          <w:r w:rsidRPr="00057C56">
                            <w:rPr>
                              <w:rFonts w:ascii="Calibri" w:eastAsia="Times New Roman" w:hAnsi="Calibri" w:cs="Calibri"/>
                              <w:color w:val="0000FF"/>
                              <w:kern w:val="0"/>
                              <w:sz w:val="26"/>
                              <w:szCs w:val="26"/>
                              <w:lang w:val="en-US" w:eastAsia="en-GB"/>
                              <w14:ligatures w14:val="none"/>
                            </w:rPr>
                            <w:t>Flavel Forever.</w:t>
                          </w:r>
                        </w:hyperlink>
                        <w:r w:rsidRPr="00057C56">
                          <w:rPr>
                            <w:rFonts w:ascii="Calibri" w:eastAsia="Times New Roman" w:hAnsi="Calibri" w:cs="Calibri"/>
                            <w:color w:val="000000"/>
                            <w:kern w:val="0"/>
                            <w:sz w:val="26"/>
                            <w:szCs w:val="26"/>
                            <w:lang w:val="en-US" w:eastAsia="en-GB"/>
                            <w14:ligatures w14:val="none"/>
                          </w:rPr>
                          <w:t>  Regular donations are the most effective way to support the Flavel, and </w:t>
                        </w:r>
                        <w:hyperlink r:id="rId7" w:history="1">
                          <w:r w:rsidRPr="00057C56">
                            <w:rPr>
                              <w:rFonts w:ascii="Calibri" w:eastAsia="Times New Roman" w:hAnsi="Calibri" w:cs="Calibri"/>
                              <w:b/>
                              <w:bCs/>
                              <w:color w:val="0000FF"/>
                              <w:kern w:val="0"/>
                              <w:sz w:val="26"/>
                              <w:szCs w:val="26"/>
                              <w:lang w:eastAsia="en-GB"/>
                              <w14:ligatures w14:val="none"/>
                            </w:rPr>
                            <w:t>joining the Flavel Forever campaign</w:t>
                          </w:r>
                        </w:hyperlink>
                        <w:r w:rsidRPr="00057C56">
                          <w:rPr>
                            <w:rFonts w:ascii="Calibri" w:eastAsia="Times New Roman" w:hAnsi="Calibri" w:cs="Calibri"/>
                            <w:b/>
                            <w:bCs/>
                            <w:color w:val="000000"/>
                            <w:kern w:val="0"/>
                            <w:sz w:val="26"/>
                            <w:szCs w:val="26"/>
                            <w:lang w:eastAsia="en-GB"/>
                            <w14:ligatures w14:val="none"/>
                          </w:rPr>
                          <w:t> —if you haven’t already—helps us plan with confidence</w:t>
                        </w:r>
                        <w:r w:rsidRPr="00057C56">
                          <w:rPr>
                            <w:rFonts w:ascii="Calibri" w:eastAsia="Times New Roman" w:hAnsi="Calibri" w:cs="Calibri"/>
                            <w:color w:val="000000"/>
                            <w:kern w:val="0"/>
                            <w:sz w:val="26"/>
                            <w:szCs w:val="26"/>
                            <w:lang w:eastAsia="en-GB"/>
                            <w14:ligatures w14:val="none"/>
                          </w:rPr>
                          <w:t>. </w:t>
                        </w:r>
                      </w:p>
                      <w:p w14:paraId="287A10E1"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p>
                      <w:p w14:paraId="6DE662B3"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Your generosity, whether through monthly standing order payments of £15 or annual payments of £150 for the remaining four years of the appeal, will help secure the Flavel for generations to come.</w:t>
                        </w:r>
                      </w:p>
                      <w:p w14:paraId="3A655A80"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p>
                      <w:p w14:paraId="5D4DA283"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b/>
                            <w:bCs/>
                            <w:color w:val="000000"/>
                            <w:kern w:val="0"/>
                            <w:sz w:val="26"/>
                            <w:szCs w:val="26"/>
                            <w:lang w:val="en-US" w:eastAsia="en-GB"/>
                            <w14:ligatures w14:val="none"/>
                          </w:rPr>
                          <w:t>Ian Downing</w:t>
                        </w:r>
                      </w:p>
                      <w:p w14:paraId="06605668"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r w:rsidRPr="00057C56">
                          <w:rPr>
                            <w:rFonts w:ascii="Calibri" w:eastAsia="Times New Roman" w:hAnsi="Calibri" w:cs="Calibri"/>
                            <w:color w:val="000000"/>
                            <w:kern w:val="0"/>
                            <w:sz w:val="26"/>
                            <w:szCs w:val="26"/>
                            <w:lang w:val="en-US" w:eastAsia="en-GB"/>
                            <w14:ligatures w14:val="none"/>
                          </w:rPr>
                          <w:t>Chair, Flavel Trust</w:t>
                        </w:r>
                      </w:p>
                      <w:p w14:paraId="38DF8CF4" w14:textId="77777777" w:rsidR="00057C56" w:rsidRPr="00057C56" w:rsidRDefault="00057C56" w:rsidP="00057C56">
                        <w:pPr>
                          <w:spacing w:line="360" w:lineRule="atLeast"/>
                          <w:rPr>
                            <w:rFonts w:ascii="Calibri" w:eastAsia="Times New Roman" w:hAnsi="Calibri" w:cs="Calibri"/>
                            <w:color w:val="000000"/>
                            <w:kern w:val="0"/>
                            <w:sz w:val="26"/>
                            <w:szCs w:val="26"/>
                            <w:lang w:eastAsia="en-GB"/>
                            <w14:ligatures w14:val="none"/>
                          </w:rPr>
                        </w:pPr>
                      </w:p>
                    </w:tc>
                  </w:tr>
                </w:tbl>
                <w:p w14:paraId="7556E962" w14:textId="77777777" w:rsidR="00057C56" w:rsidRPr="00057C56" w:rsidRDefault="00057C56" w:rsidP="00057C56">
                  <w:pPr>
                    <w:jc w:val="center"/>
                    <w:rPr>
                      <w:rFonts w:ascii="Calibri" w:eastAsia="Times New Roman" w:hAnsi="Calibri" w:cs="Calibri"/>
                      <w:kern w:val="0"/>
                      <w:sz w:val="26"/>
                      <w:szCs w:val="26"/>
                      <w:lang w:eastAsia="en-GB"/>
                      <w14:ligatures w14:val="none"/>
                    </w:rPr>
                  </w:pPr>
                  <w:r w:rsidRPr="00057C56">
                    <w:rPr>
                      <w:rFonts w:ascii="Calibri" w:eastAsia="Times New Roman" w:hAnsi="Calibri" w:cs="Calibri"/>
                      <w:kern w:val="0"/>
                      <w:sz w:val="26"/>
                      <w:szCs w:val="26"/>
                      <w:lang w:eastAsia="en-GB"/>
                      <w14:ligatures w14:val="none"/>
                    </w:rPr>
                    <w:lastRenderedPageBreak/>
                    <w:t> </w:t>
                  </w:r>
                </w:p>
              </w:tc>
            </w:tr>
            <w:tr w:rsidR="00057C56" w:rsidRPr="00057C56" w14:paraId="60B2644E"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8426"/>
                  </w:tblGrid>
                  <w:tr w:rsidR="00057C56" w:rsidRPr="00057C56" w14:paraId="13B23268"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8426"/>
                        </w:tblGrid>
                        <w:tr w:rsidR="00057C56" w:rsidRPr="00057C56" w14:paraId="489F426B" w14:textId="77777777">
                          <w:trPr>
                            <w:jc w:val="center"/>
                          </w:trPr>
                          <w:tc>
                            <w:tcPr>
                              <w:tcW w:w="0" w:type="auto"/>
                              <w:vAlign w:val="center"/>
                              <w:hideMark/>
                            </w:tcPr>
                            <w:tbl>
                              <w:tblPr>
                                <w:tblW w:w="5000" w:type="pct"/>
                                <w:jc w:val="center"/>
                                <w:tblBorders>
                                  <w:top w:val="single" w:sz="24" w:space="0" w:color="019ED0"/>
                                </w:tblBorders>
                                <w:tblCellMar>
                                  <w:left w:w="0" w:type="dxa"/>
                                  <w:right w:w="0" w:type="dxa"/>
                                </w:tblCellMar>
                                <w:tblLook w:val="04A0" w:firstRow="1" w:lastRow="0" w:firstColumn="1" w:lastColumn="0" w:noHBand="0" w:noVBand="1"/>
                              </w:tblPr>
                              <w:tblGrid>
                                <w:gridCol w:w="8426"/>
                              </w:tblGrid>
                              <w:tr w:rsidR="00057C56" w:rsidRPr="00057C56" w14:paraId="1E9F2819" w14:textId="77777777">
                                <w:trPr>
                                  <w:jc w:val="center"/>
                                </w:trPr>
                                <w:tc>
                                  <w:tcPr>
                                    <w:tcW w:w="0" w:type="auto"/>
                                    <w:tcMar>
                                      <w:top w:w="135" w:type="dxa"/>
                                      <w:left w:w="0" w:type="dxa"/>
                                      <w:bottom w:w="0" w:type="dxa"/>
                                      <w:right w:w="0" w:type="dxa"/>
                                    </w:tcMar>
                                    <w:hideMark/>
                                  </w:tcPr>
                                  <w:tbl>
                                    <w:tblPr>
                                      <w:tblW w:w="0" w:type="auto"/>
                                      <w:jc w:val="center"/>
                                      <w:tblCellMar>
                                        <w:left w:w="0" w:type="dxa"/>
                                        <w:right w:w="0" w:type="dxa"/>
                                      </w:tblCellMar>
                                      <w:tblLook w:val="04A0" w:firstRow="1" w:lastRow="0" w:firstColumn="1" w:lastColumn="0" w:noHBand="0" w:noVBand="1"/>
                                    </w:tblPr>
                                    <w:tblGrid>
                                      <w:gridCol w:w="2745"/>
                                    </w:tblGrid>
                                    <w:tr w:rsidR="00057C56" w:rsidRPr="00057C56" w14:paraId="04C255A4" w14:textId="77777777">
                                      <w:trPr>
                                        <w:jc w:val="center"/>
                                      </w:trPr>
                                      <w:tc>
                                        <w:tcPr>
                                          <w:tcW w:w="0" w:type="auto"/>
                                          <w:hideMark/>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915"/>
                                            <w:gridCol w:w="915"/>
                                            <w:gridCol w:w="915"/>
                                          </w:tblGrid>
                                          <w:tr w:rsidR="00057C56" w:rsidRPr="00057C56" w14:paraId="6862218C" w14:textId="77777777">
                                            <w:trPr>
                                              <w:tblCellSpacing w:w="0" w:type="dxa"/>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915"/>
                                                </w:tblGrid>
                                                <w:tr w:rsidR="00057C56" w:rsidRPr="00057C56" w14:paraId="07A4471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765"/>
                                                      </w:tblGrid>
                                                      <w:tr w:rsidR="00057C56" w:rsidRPr="00057C56" w14:paraId="0498218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480"/>
                                                            </w:tblGrid>
                                                            <w:tr w:rsidR="00057C56" w:rsidRPr="00057C56" w14:paraId="4921CBC2" w14:textId="77777777">
                                                              <w:tc>
                                                                <w:tcPr>
                                                                  <w:tcW w:w="360" w:type="dxa"/>
                                                                  <w:vAlign w:val="center"/>
                                                                  <w:hideMark/>
                                                                </w:tcPr>
                                                                <w:p w14:paraId="2F401992" w14:textId="44C51995" w:rsidR="00057C56" w:rsidRPr="00057C56" w:rsidRDefault="00057C56" w:rsidP="00057C56">
                                                                  <w:pPr>
                                                                    <w:jc w:val="center"/>
                                                                    <w:rPr>
                                                                      <w:rFonts w:ascii="Times New Roman" w:eastAsia="Times New Roman" w:hAnsi="Times New Roman" w:cs="Times New Roman"/>
                                                                      <w:kern w:val="0"/>
                                                                      <w:lang w:eastAsia="en-GB"/>
                                                                      <w14:ligatures w14:val="none"/>
                                                                    </w:rPr>
                                                                  </w:pPr>
                                                                  <w:r w:rsidRPr="00057C56">
                                                                    <w:rPr>
                                                                      <w:rFonts w:ascii="Times New Roman" w:eastAsia="Times New Roman" w:hAnsi="Times New Roman" w:cs="Times New Roman"/>
                                                                      <w:noProof/>
                                                                      <w:color w:val="0000FF"/>
                                                                      <w:kern w:val="0"/>
                                                                      <w:lang w:eastAsia="en-GB"/>
                                                                      <w14:ligatures w14:val="none"/>
                                                                    </w:rPr>
                                                                    <w:lastRenderedPageBreak/>
                                                                    <w:drawing>
                                                                      <wp:inline distT="0" distB="0" distL="0" distR="0" wp14:anchorId="169B9796" wp14:editId="7FF713F2">
                                                                        <wp:extent cx="304800" cy="304800"/>
                                                                        <wp:effectExtent l="0" t="0" r="0" b="0"/>
                                                                        <wp:docPr id="1283047667" name="Picture 3" descr="Facebook">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3092A386" w14:textId="77777777" w:rsidR="00057C56" w:rsidRPr="00057C56" w:rsidRDefault="00057C56" w:rsidP="00057C56">
                                                            <w:pPr>
                                                              <w:rPr>
                                                                <w:rFonts w:ascii="Times New Roman" w:eastAsia="Times New Roman" w:hAnsi="Times New Roman" w:cs="Times New Roman"/>
                                                                <w:kern w:val="0"/>
                                                                <w:lang w:eastAsia="en-GB"/>
                                                                <w14:ligatures w14:val="none"/>
                                                              </w:rPr>
                                                            </w:pPr>
                                                          </w:p>
                                                        </w:tc>
                                                      </w:tr>
                                                    </w:tbl>
                                                    <w:p w14:paraId="5B4BD7D7" w14:textId="77777777" w:rsidR="00057C56" w:rsidRPr="00057C56" w:rsidRDefault="00057C56" w:rsidP="00057C56">
                                                      <w:pPr>
                                                        <w:rPr>
                                                          <w:rFonts w:ascii="Times New Roman" w:eastAsia="Times New Roman" w:hAnsi="Times New Roman" w:cs="Times New Roman"/>
                                                          <w:kern w:val="0"/>
                                                          <w:lang w:eastAsia="en-GB"/>
                                                          <w14:ligatures w14:val="none"/>
                                                        </w:rPr>
                                                      </w:pPr>
                                                    </w:p>
                                                  </w:tc>
                                                </w:tr>
                                              </w:tbl>
                                              <w:p w14:paraId="44484474" w14:textId="77777777" w:rsidR="00057C56" w:rsidRPr="00057C56" w:rsidRDefault="00057C56" w:rsidP="00057C56">
                                                <w:pPr>
                                                  <w:jc w:val="center"/>
                                                  <w:rPr>
                                                    <w:rFonts w:ascii="Times New Roman" w:eastAsia="Times New Roman" w:hAnsi="Times New Roman" w:cs="Times New Roman"/>
                                                    <w:kern w:val="0"/>
                                                    <w:lang w:eastAsia="en-GB"/>
                                                    <w14:ligatures w14:val="none"/>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915"/>
                                                </w:tblGrid>
                                                <w:tr w:rsidR="00057C56" w:rsidRPr="00057C56" w14:paraId="33A5496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765"/>
                                                      </w:tblGrid>
                                                      <w:tr w:rsidR="00057C56" w:rsidRPr="00057C56" w14:paraId="33407F6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480"/>
                                                            </w:tblGrid>
                                                            <w:tr w:rsidR="00057C56" w:rsidRPr="00057C56" w14:paraId="21FE8318" w14:textId="77777777">
                                                              <w:tc>
                                                                <w:tcPr>
                                                                  <w:tcW w:w="360" w:type="dxa"/>
                                                                  <w:vAlign w:val="center"/>
                                                                  <w:hideMark/>
                                                                </w:tcPr>
                                                                <w:p w14:paraId="2376DCBA" w14:textId="19B82FFB" w:rsidR="00057C56" w:rsidRPr="00057C56" w:rsidRDefault="00057C56" w:rsidP="00057C56">
                                                                  <w:pPr>
                                                                    <w:jc w:val="center"/>
                                                                    <w:rPr>
                                                                      <w:rFonts w:ascii="Times New Roman" w:eastAsia="Times New Roman" w:hAnsi="Times New Roman" w:cs="Times New Roman"/>
                                                                      <w:kern w:val="0"/>
                                                                      <w:lang w:eastAsia="en-GB"/>
                                                                      <w14:ligatures w14:val="none"/>
                                                                    </w:rPr>
                                                                  </w:pPr>
                                                                  <w:r w:rsidRPr="00057C56">
                                                                    <w:rPr>
                                                                      <w:rFonts w:ascii="Times New Roman" w:eastAsia="Times New Roman" w:hAnsi="Times New Roman" w:cs="Times New Roman"/>
                                                                      <w:noProof/>
                                                                      <w:color w:val="0000FF"/>
                                                                      <w:kern w:val="0"/>
                                                                      <w:lang w:eastAsia="en-GB"/>
                                                                      <w14:ligatures w14:val="none"/>
                                                                    </w:rPr>
                                                                    <w:drawing>
                                                                      <wp:inline distT="0" distB="0" distL="0" distR="0" wp14:anchorId="6A13230A" wp14:editId="321639E7">
                                                                        <wp:extent cx="304800" cy="304800"/>
                                                                        <wp:effectExtent l="0" t="0" r="0" b="0"/>
                                                                        <wp:docPr id="109877075" name="Picture 2" descr="Twitter">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3BF7FA0C" w14:textId="77777777" w:rsidR="00057C56" w:rsidRPr="00057C56" w:rsidRDefault="00057C56" w:rsidP="00057C56">
                                                            <w:pPr>
                                                              <w:rPr>
                                                                <w:rFonts w:ascii="Times New Roman" w:eastAsia="Times New Roman" w:hAnsi="Times New Roman" w:cs="Times New Roman"/>
                                                                <w:kern w:val="0"/>
                                                                <w:lang w:eastAsia="en-GB"/>
                                                                <w14:ligatures w14:val="none"/>
                                                              </w:rPr>
                                                            </w:pPr>
                                                          </w:p>
                                                        </w:tc>
                                                      </w:tr>
                                                    </w:tbl>
                                                    <w:p w14:paraId="4C6401C9" w14:textId="77777777" w:rsidR="00057C56" w:rsidRPr="00057C56" w:rsidRDefault="00057C56" w:rsidP="00057C56">
                                                      <w:pPr>
                                                        <w:rPr>
                                                          <w:rFonts w:ascii="Times New Roman" w:eastAsia="Times New Roman" w:hAnsi="Times New Roman" w:cs="Times New Roman"/>
                                                          <w:kern w:val="0"/>
                                                          <w:lang w:eastAsia="en-GB"/>
                                                          <w14:ligatures w14:val="none"/>
                                                        </w:rPr>
                                                      </w:pPr>
                                                    </w:p>
                                                  </w:tc>
                                                </w:tr>
                                              </w:tbl>
                                              <w:p w14:paraId="66FE800F" w14:textId="77777777" w:rsidR="00057C56" w:rsidRPr="00057C56" w:rsidRDefault="00057C56" w:rsidP="00057C56">
                                                <w:pPr>
                                                  <w:jc w:val="center"/>
                                                  <w:rPr>
                                                    <w:rFonts w:ascii="Times New Roman" w:eastAsia="Times New Roman" w:hAnsi="Times New Roman" w:cs="Times New Roman"/>
                                                    <w:kern w:val="0"/>
                                                    <w:lang w:eastAsia="en-GB"/>
                                                    <w14:ligatures w14:val="none"/>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915"/>
                                                </w:tblGrid>
                                                <w:tr w:rsidR="00057C56" w:rsidRPr="00057C56" w14:paraId="081B651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765"/>
                                                      </w:tblGrid>
                                                      <w:tr w:rsidR="00057C56" w:rsidRPr="00057C56" w14:paraId="5DB29F4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480"/>
                                                            </w:tblGrid>
                                                            <w:tr w:rsidR="00057C56" w:rsidRPr="00057C56" w14:paraId="7453C73C" w14:textId="77777777">
                                                              <w:tc>
                                                                <w:tcPr>
                                                                  <w:tcW w:w="360" w:type="dxa"/>
                                                                  <w:vAlign w:val="center"/>
                                                                  <w:hideMark/>
                                                                </w:tcPr>
                                                                <w:p w14:paraId="4C83B8C2" w14:textId="5998F31B" w:rsidR="00057C56" w:rsidRPr="00057C56" w:rsidRDefault="00057C56" w:rsidP="00057C56">
                                                                  <w:pPr>
                                                                    <w:jc w:val="center"/>
                                                                    <w:rPr>
                                                                      <w:rFonts w:ascii="Times New Roman" w:eastAsia="Times New Roman" w:hAnsi="Times New Roman" w:cs="Times New Roman"/>
                                                                      <w:kern w:val="0"/>
                                                                      <w:lang w:eastAsia="en-GB"/>
                                                                      <w14:ligatures w14:val="none"/>
                                                                    </w:rPr>
                                                                  </w:pPr>
                                                                  <w:r w:rsidRPr="00057C56">
                                                                    <w:rPr>
                                                                      <w:rFonts w:ascii="Times New Roman" w:eastAsia="Times New Roman" w:hAnsi="Times New Roman" w:cs="Times New Roman"/>
                                                                      <w:noProof/>
                                                                      <w:color w:val="0000FF"/>
                                                                      <w:kern w:val="0"/>
                                                                      <w:lang w:eastAsia="en-GB"/>
                                                                      <w14:ligatures w14:val="none"/>
                                                                    </w:rPr>
                                                                    <w:drawing>
                                                                      <wp:inline distT="0" distB="0" distL="0" distR="0" wp14:anchorId="7B3436C2" wp14:editId="3F772A27">
                                                                        <wp:extent cx="304800" cy="304800"/>
                                                                        <wp:effectExtent l="0" t="0" r="0" b="0"/>
                                                                        <wp:docPr id="1297654865" name="Picture 1" descr="Instagram">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gram">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4D0F440E" w14:textId="77777777" w:rsidR="00057C56" w:rsidRPr="00057C56" w:rsidRDefault="00057C56" w:rsidP="00057C56">
                                                            <w:pPr>
                                                              <w:rPr>
                                                                <w:rFonts w:ascii="Times New Roman" w:eastAsia="Times New Roman" w:hAnsi="Times New Roman" w:cs="Times New Roman"/>
                                                                <w:kern w:val="0"/>
                                                                <w:lang w:eastAsia="en-GB"/>
                                                                <w14:ligatures w14:val="none"/>
                                                              </w:rPr>
                                                            </w:pPr>
                                                          </w:p>
                                                        </w:tc>
                                                      </w:tr>
                                                    </w:tbl>
                                                    <w:p w14:paraId="289570F6" w14:textId="77777777" w:rsidR="00057C56" w:rsidRPr="00057C56" w:rsidRDefault="00057C56" w:rsidP="00057C56">
                                                      <w:pPr>
                                                        <w:rPr>
                                                          <w:rFonts w:ascii="Times New Roman" w:eastAsia="Times New Roman" w:hAnsi="Times New Roman" w:cs="Times New Roman"/>
                                                          <w:kern w:val="0"/>
                                                          <w:lang w:eastAsia="en-GB"/>
                                                          <w14:ligatures w14:val="none"/>
                                                        </w:rPr>
                                                      </w:pPr>
                                                    </w:p>
                                                  </w:tc>
                                                </w:tr>
                                              </w:tbl>
                                              <w:p w14:paraId="1E02B18D" w14:textId="77777777" w:rsidR="00057C56" w:rsidRPr="00057C56" w:rsidRDefault="00057C56" w:rsidP="00057C56">
                                                <w:pPr>
                                                  <w:jc w:val="center"/>
                                                  <w:rPr>
                                                    <w:rFonts w:ascii="Times New Roman" w:eastAsia="Times New Roman" w:hAnsi="Times New Roman" w:cs="Times New Roman"/>
                                                    <w:kern w:val="0"/>
                                                    <w:lang w:eastAsia="en-GB"/>
                                                    <w14:ligatures w14:val="none"/>
                                                  </w:rPr>
                                                </w:pPr>
                                              </w:p>
                                            </w:tc>
                                          </w:tr>
                                        </w:tbl>
                                        <w:p w14:paraId="17ADE1F6" w14:textId="77777777" w:rsidR="00057C56" w:rsidRPr="00057C56" w:rsidRDefault="00057C56" w:rsidP="00057C56">
                                          <w:pPr>
                                            <w:jc w:val="center"/>
                                            <w:rPr>
                                              <w:rFonts w:ascii="Times New Roman" w:eastAsia="Times New Roman" w:hAnsi="Times New Roman" w:cs="Times New Roman"/>
                                              <w:kern w:val="0"/>
                                              <w:lang w:eastAsia="en-GB"/>
                                              <w14:ligatures w14:val="none"/>
                                            </w:rPr>
                                          </w:pPr>
                                        </w:p>
                                      </w:tc>
                                    </w:tr>
                                  </w:tbl>
                                  <w:p w14:paraId="2E5C1BB1" w14:textId="77777777" w:rsidR="00057C56" w:rsidRPr="00057C56" w:rsidRDefault="00057C56" w:rsidP="00057C56">
                                    <w:pPr>
                                      <w:jc w:val="center"/>
                                      <w:rPr>
                                        <w:rFonts w:ascii="Times New Roman" w:eastAsia="Times New Roman" w:hAnsi="Times New Roman" w:cs="Times New Roman"/>
                                        <w:kern w:val="0"/>
                                        <w:lang w:eastAsia="en-GB"/>
                                        <w14:ligatures w14:val="none"/>
                                      </w:rPr>
                                    </w:pPr>
                                  </w:p>
                                </w:tc>
                              </w:tr>
                            </w:tbl>
                            <w:p w14:paraId="5AD215E8" w14:textId="77777777" w:rsidR="00057C56" w:rsidRPr="00057C56" w:rsidRDefault="00057C56" w:rsidP="00057C56">
                              <w:pPr>
                                <w:jc w:val="center"/>
                                <w:rPr>
                                  <w:rFonts w:ascii="Times New Roman" w:eastAsia="Times New Roman" w:hAnsi="Times New Roman" w:cs="Times New Roman"/>
                                  <w:kern w:val="0"/>
                                  <w:lang w:eastAsia="en-GB"/>
                                  <w14:ligatures w14:val="none"/>
                                </w:rPr>
                              </w:pPr>
                            </w:p>
                          </w:tc>
                        </w:tr>
                      </w:tbl>
                      <w:p w14:paraId="20C3D43F" w14:textId="77777777" w:rsidR="00057C56" w:rsidRPr="00057C56" w:rsidRDefault="00057C56" w:rsidP="00057C56">
                        <w:pPr>
                          <w:jc w:val="center"/>
                          <w:rPr>
                            <w:rFonts w:ascii="Times New Roman" w:eastAsia="Times New Roman" w:hAnsi="Times New Roman" w:cs="Times New Roman"/>
                            <w:kern w:val="0"/>
                            <w:lang w:eastAsia="en-GB"/>
                            <w14:ligatures w14:val="none"/>
                          </w:rPr>
                        </w:pPr>
                      </w:p>
                    </w:tc>
                  </w:tr>
                </w:tbl>
                <w:p w14:paraId="36447821" w14:textId="77777777" w:rsidR="00057C56" w:rsidRPr="00057C56" w:rsidRDefault="00057C56" w:rsidP="00057C56">
                  <w:pPr>
                    <w:jc w:val="center"/>
                    <w:rPr>
                      <w:rFonts w:ascii="Times New Roman" w:eastAsia="Times New Roman" w:hAnsi="Times New Roman" w:cs="Times New Roman"/>
                      <w:vanish/>
                      <w:kern w:val="0"/>
                      <w:lang w:eastAsia="en-GB"/>
                      <w14:ligatures w14:val="none"/>
                    </w:rPr>
                  </w:pPr>
                </w:p>
                <w:tbl>
                  <w:tblPr>
                    <w:tblW w:w="5000" w:type="pct"/>
                    <w:jc w:val="center"/>
                    <w:shd w:val="clear" w:color="auto" w:fill="FFFFFF"/>
                    <w:tblCellMar>
                      <w:left w:w="0" w:type="dxa"/>
                      <w:right w:w="0" w:type="dxa"/>
                    </w:tblCellMar>
                    <w:tblLook w:val="04A0" w:firstRow="1" w:lastRow="0" w:firstColumn="1" w:lastColumn="0" w:noHBand="0" w:noVBand="1"/>
                  </w:tblPr>
                  <w:tblGrid>
                    <w:gridCol w:w="8426"/>
                  </w:tblGrid>
                  <w:tr w:rsidR="00057C56" w:rsidRPr="00057C56" w14:paraId="42C9A896" w14:textId="77777777">
                    <w:trPr>
                      <w:jc w:val="center"/>
                    </w:trPr>
                    <w:tc>
                      <w:tcPr>
                        <w:tcW w:w="2070" w:type="dxa"/>
                        <w:tcBorders>
                          <w:top w:val="single" w:sz="24" w:space="0" w:color="auto"/>
                          <w:left w:val="nil"/>
                          <w:bottom w:val="single" w:sz="24" w:space="0" w:color="auto"/>
                          <w:right w:val="nil"/>
                        </w:tcBorders>
                        <w:shd w:val="clear" w:color="auto" w:fill="FFFFFF"/>
                        <w:tcMar>
                          <w:top w:w="225" w:type="dxa"/>
                          <w:left w:w="0" w:type="dxa"/>
                          <w:bottom w:w="0" w:type="dxa"/>
                          <w:right w:w="0" w:type="dxa"/>
                        </w:tcMar>
                        <w:hideMark/>
                      </w:tcPr>
                      <w:p w14:paraId="7BC1543D" w14:textId="77777777" w:rsidR="00057C56" w:rsidRPr="00057C56" w:rsidRDefault="00057C56" w:rsidP="00057C56">
                        <w:pPr>
                          <w:spacing w:after="260" w:line="390" w:lineRule="atLeast"/>
                          <w:jc w:val="center"/>
                          <w:rPr>
                            <w:rFonts w:ascii="Calibri" w:eastAsia="Times New Roman" w:hAnsi="Calibri" w:cs="Calibri"/>
                            <w:kern w:val="0"/>
                            <w:sz w:val="26"/>
                            <w:szCs w:val="26"/>
                            <w:lang w:eastAsia="en-GB"/>
                            <w14:ligatures w14:val="none"/>
                          </w:rPr>
                        </w:pPr>
                        <w:r w:rsidRPr="00057C56">
                          <w:rPr>
                            <w:rFonts w:ascii="Calibri" w:eastAsia="Times New Roman" w:hAnsi="Calibri" w:cs="Calibri"/>
                            <w:kern w:val="0"/>
                            <w:sz w:val="26"/>
                            <w:szCs w:val="26"/>
                            <w:lang w:eastAsia="en-GB"/>
                            <w14:ligatures w14:val="none"/>
                          </w:rPr>
                          <w:t>Copyright (c) The Flavel 2024</w:t>
                        </w:r>
                        <w:r w:rsidRPr="00057C56">
                          <w:rPr>
                            <w:rFonts w:ascii="Calibri" w:eastAsia="Times New Roman" w:hAnsi="Calibri" w:cs="Calibri"/>
                            <w:kern w:val="0"/>
                            <w:sz w:val="26"/>
                            <w:szCs w:val="26"/>
                            <w:lang w:eastAsia="en-GB"/>
                            <w14:ligatures w14:val="none"/>
                          </w:rPr>
                          <w:br/>
                        </w:r>
                        <w:hyperlink r:id="rId14" w:history="1">
                          <w:r w:rsidRPr="00057C56">
                            <w:rPr>
                              <w:rFonts w:ascii="Calibri" w:eastAsia="Times New Roman" w:hAnsi="Calibri" w:cs="Calibri"/>
                              <w:color w:val="0000FF"/>
                              <w:kern w:val="0"/>
                              <w:sz w:val="26"/>
                              <w:szCs w:val="26"/>
                              <w:lang w:eastAsia="en-GB"/>
                              <w14:ligatures w14:val="none"/>
                            </w:rPr>
                            <w:t>theflavel.org.uk</w:t>
                          </w:r>
                        </w:hyperlink>
                        <w:r w:rsidRPr="00057C56">
                          <w:rPr>
                            <w:rFonts w:ascii="Calibri" w:eastAsia="Times New Roman" w:hAnsi="Calibri" w:cs="Calibri"/>
                            <w:kern w:val="0"/>
                            <w:sz w:val="26"/>
                            <w:szCs w:val="26"/>
                            <w:lang w:eastAsia="en-GB"/>
                            <w14:ligatures w14:val="none"/>
                          </w:rPr>
                          <w:t> | </w:t>
                        </w:r>
                        <w:hyperlink r:id="rId15" w:history="1">
                          <w:r w:rsidRPr="00057C56">
                            <w:rPr>
                              <w:rFonts w:ascii="Calibri" w:eastAsia="Times New Roman" w:hAnsi="Calibri" w:cs="Calibri"/>
                              <w:color w:val="2B2B2B"/>
                              <w:kern w:val="0"/>
                              <w:sz w:val="26"/>
                              <w:szCs w:val="26"/>
                              <w:lang w:eastAsia="en-GB"/>
                              <w14:ligatures w14:val="none"/>
                            </w:rPr>
                            <w:t>01803 839530</w:t>
                          </w:r>
                        </w:hyperlink>
                        <w:r w:rsidRPr="00057C56">
                          <w:rPr>
                            <w:rFonts w:ascii="Calibri" w:eastAsia="Times New Roman" w:hAnsi="Calibri" w:cs="Calibri"/>
                            <w:kern w:val="0"/>
                            <w:sz w:val="26"/>
                            <w:szCs w:val="26"/>
                            <w:lang w:eastAsia="en-GB"/>
                            <w14:ligatures w14:val="none"/>
                          </w:rPr>
                          <w:br/>
                          <w:t>If you wish to unsubscribe, simply </w:t>
                        </w:r>
                        <w:hyperlink r:id="rId16" w:history="1">
                          <w:r w:rsidRPr="00057C56">
                            <w:rPr>
                              <w:rFonts w:ascii="Calibri" w:eastAsia="Times New Roman" w:hAnsi="Calibri" w:cs="Calibri"/>
                              <w:color w:val="0000FF"/>
                              <w:kern w:val="0"/>
                              <w:sz w:val="26"/>
                              <w:szCs w:val="26"/>
                              <w:lang w:eastAsia="en-GB"/>
                              <w14:ligatures w14:val="none"/>
                            </w:rPr>
                            <w:t>update your contact preferences here</w:t>
                          </w:r>
                        </w:hyperlink>
                        <w:r w:rsidRPr="00057C56">
                          <w:rPr>
                            <w:rFonts w:ascii="Calibri" w:eastAsia="Times New Roman" w:hAnsi="Calibri" w:cs="Calibri"/>
                            <w:kern w:val="0"/>
                            <w:sz w:val="26"/>
                            <w:szCs w:val="26"/>
                            <w:lang w:eastAsia="en-GB"/>
                            <w14:ligatures w14:val="none"/>
                          </w:rPr>
                          <w:t>.</w:t>
                        </w:r>
                      </w:p>
                    </w:tc>
                  </w:tr>
                </w:tbl>
                <w:p w14:paraId="4D556938" w14:textId="77777777" w:rsidR="00057C56" w:rsidRPr="00057C56" w:rsidRDefault="00057C56" w:rsidP="00057C56">
                  <w:pPr>
                    <w:jc w:val="center"/>
                    <w:rPr>
                      <w:rFonts w:ascii="Times New Roman" w:eastAsia="Times New Roman" w:hAnsi="Times New Roman" w:cs="Times New Roman"/>
                      <w:kern w:val="0"/>
                      <w:lang w:eastAsia="en-GB"/>
                      <w14:ligatures w14:val="none"/>
                    </w:rPr>
                  </w:pPr>
                </w:p>
              </w:tc>
            </w:tr>
          </w:tbl>
          <w:p w14:paraId="36BEF1CF" w14:textId="77777777" w:rsidR="00057C56" w:rsidRPr="00057C56" w:rsidRDefault="00057C56" w:rsidP="00057C56">
            <w:pPr>
              <w:jc w:val="center"/>
              <w:rPr>
                <w:rFonts w:ascii="Times New Roman" w:eastAsia="Times New Roman" w:hAnsi="Times New Roman" w:cs="Times New Roman"/>
                <w:kern w:val="0"/>
                <w:lang w:eastAsia="en-GB"/>
                <w14:ligatures w14:val="none"/>
              </w:rPr>
            </w:pPr>
          </w:p>
        </w:tc>
      </w:tr>
    </w:tbl>
    <w:p w14:paraId="11FA7F14" w14:textId="77777777" w:rsidR="006E19BD" w:rsidRDefault="006E19BD"/>
    <w:sectPr w:rsidR="006E19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Black">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56"/>
    <w:rsid w:val="00057C56"/>
    <w:rsid w:val="002E2200"/>
    <w:rsid w:val="00462E78"/>
    <w:rsid w:val="006E19BD"/>
    <w:rsid w:val="00916649"/>
    <w:rsid w:val="00A00A71"/>
    <w:rsid w:val="00AB7EFC"/>
    <w:rsid w:val="00E43B2C"/>
    <w:rsid w:val="00E50F8C"/>
    <w:rsid w:val="00F63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319C54"/>
  <w15:chartTrackingRefBased/>
  <w15:docId w15:val="{0BAC0C48-A716-AB48-A7F5-7CCDA879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C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C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C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C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C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C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C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C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C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C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C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C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C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C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C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C56"/>
    <w:rPr>
      <w:rFonts w:eastAsiaTheme="majorEastAsia" w:cstheme="majorBidi"/>
      <w:color w:val="272727" w:themeColor="text1" w:themeTint="D8"/>
    </w:rPr>
  </w:style>
  <w:style w:type="paragraph" w:styleId="Title">
    <w:name w:val="Title"/>
    <w:basedOn w:val="Normal"/>
    <w:next w:val="Normal"/>
    <w:link w:val="TitleChar"/>
    <w:uiPriority w:val="10"/>
    <w:qFormat/>
    <w:rsid w:val="00057C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C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C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C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C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7C56"/>
    <w:rPr>
      <w:i/>
      <w:iCs/>
      <w:color w:val="404040" w:themeColor="text1" w:themeTint="BF"/>
    </w:rPr>
  </w:style>
  <w:style w:type="paragraph" w:styleId="ListParagraph">
    <w:name w:val="List Paragraph"/>
    <w:basedOn w:val="Normal"/>
    <w:uiPriority w:val="34"/>
    <w:qFormat/>
    <w:rsid w:val="00057C56"/>
    <w:pPr>
      <w:ind w:left="720"/>
      <w:contextualSpacing/>
    </w:pPr>
  </w:style>
  <w:style w:type="character" w:styleId="IntenseEmphasis">
    <w:name w:val="Intense Emphasis"/>
    <w:basedOn w:val="DefaultParagraphFont"/>
    <w:uiPriority w:val="21"/>
    <w:qFormat/>
    <w:rsid w:val="00057C56"/>
    <w:rPr>
      <w:i/>
      <w:iCs/>
      <w:color w:val="0F4761" w:themeColor="accent1" w:themeShade="BF"/>
    </w:rPr>
  </w:style>
  <w:style w:type="paragraph" w:styleId="IntenseQuote">
    <w:name w:val="Intense Quote"/>
    <w:basedOn w:val="Normal"/>
    <w:next w:val="Normal"/>
    <w:link w:val="IntenseQuoteChar"/>
    <w:uiPriority w:val="30"/>
    <w:qFormat/>
    <w:rsid w:val="00057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C56"/>
    <w:rPr>
      <w:i/>
      <w:iCs/>
      <w:color w:val="0F4761" w:themeColor="accent1" w:themeShade="BF"/>
    </w:rPr>
  </w:style>
  <w:style w:type="character" w:styleId="IntenseReference">
    <w:name w:val="Intense Reference"/>
    <w:basedOn w:val="DefaultParagraphFont"/>
    <w:uiPriority w:val="32"/>
    <w:qFormat/>
    <w:rsid w:val="00057C56"/>
    <w:rPr>
      <w:b/>
      <w:bCs/>
      <w:smallCaps/>
      <w:color w:val="0F4761" w:themeColor="accent1" w:themeShade="BF"/>
      <w:spacing w:val="5"/>
    </w:rPr>
  </w:style>
  <w:style w:type="paragraph" w:customStyle="1" w:styleId="xmsonormal">
    <w:name w:val="x_msonormal"/>
    <w:basedOn w:val="Normal"/>
    <w:rsid w:val="00057C5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057C56"/>
    <w:rPr>
      <w:color w:val="0000FF"/>
      <w:u w:val="single"/>
    </w:rPr>
  </w:style>
  <w:style w:type="character" w:customStyle="1" w:styleId="apple-converted-space">
    <w:name w:val="apple-converted-space"/>
    <w:basedOn w:val="DefaultParagraphFont"/>
    <w:rsid w:val="00057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track.savoysystems.co.uk/WebTrack.dll/TrackLink?Version=1&amp;WebTrackAccountName=Flavel&amp;EmailRef=FLD10049732&amp;EmailPatronId=10049961&amp;CustomFields=Stage=FollowedLink&amp;RealURL=https://www.facebook.com/pages/The-Flavel-Arts-Centre/215690121803990?utm_source=Oscar%26utm_medium=Email%26utm_campaign=20251212"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ebtrack.savoysystems.co.uk/WebTrack.dll/TrackLink?Version=1&amp;WebTrackAccountName=Flavel&amp;EmailRef=FLD10049732&amp;EmailPatronId=10049961&amp;CustomFields=Stage=FollowedLink&amp;RealURL=https://forms.office.com/pages/responsepage.aspx?id=8Kfhvm5dEUuYcpvHwpTRd9F_5SKmB95CmsUB8rQ487lUNkNZODA4NFNXNFlYWTVCQjlPV0tLRldQVy4u&amp;route=shorturl%26utm_source=Oscar%26utm_medium=Email%26utm_campaign=20251212" TargetMode="External"/><Relationship Id="rId12" Type="http://schemas.openxmlformats.org/officeDocument/2006/relationships/hyperlink" Target="https://webtrack.savoysystems.co.uk/WebTrack.dll/TrackLink?Version=1&amp;WebTrackAccountName=Flavel&amp;EmailRef=FLD10049732&amp;EmailPatronId=10049961&amp;CustomFields=Stage=FollowedLink&amp;RealURL=https://www.instagram.com/flavelartscentre/?utm_source=Oscar%26utm_medium=Email%26utm_campaign=2025121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ebtrack.savoysystems.co.uk/WebTrack.dll/TrackLink?Version=1&amp;WebTrackAccountName=Flavel&amp;EmailRef=FLD10049732&amp;EmailPatronId=10049961&amp;CustomFields=Stage=FollowedLink&amp;RealURL=https://theflavel.org.uk/TheFlavel.dll/Booking?Booking=TSelectItems.waUnsubscribeFromENews.6C03F0A84293E05FF9E348781A16DE7072AC5DBAF5DFF5617B9636182F3B1C66B469F59F341C5B22C8909BAD124AABAF4C8903684550C5DA" TargetMode="External"/><Relationship Id="rId1" Type="http://schemas.openxmlformats.org/officeDocument/2006/relationships/styles" Target="styles.xml"/><Relationship Id="rId6" Type="http://schemas.openxmlformats.org/officeDocument/2006/relationships/hyperlink" Target="https://webtrack.savoysystems.co.uk/WebTrack.dll/TrackLink?Version=1&amp;WebTrackAccountName=Flavel&amp;EmailRef=FLD10049732&amp;EmailPatronId=10049961&amp;CustomFields=Stage=FollowedLink&amp;RealURL=https://theflavel.org.uk/TheFlavel.dll/Page?p=10050082&amp;m=m%26utm_source=Oscar%26utm_medium=Email%26utm_campaign=20251212"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hyperlink" Target="https://webtrack.savoysystems.co.uk/WebTrack.dll/TrackLink?Version=1&amp;WebTrackAccountName=Flavel&amp;EmailRef=FLD10049732&amp;EmailPatronId=10049961&amp;CustomFields=Stage=FollowedLink&amp;RealURL=tel:01803839530?utm_source=Oscar%26utm_medium=Email%26utm_campaign=20251212" TargetMode="External"/><Relationship Id="rId10" Type="http://schemas.openxmlformats.org/officeDocument/2006/relationships/hyperlink" Target="https://webtrack.savoysystems.co.uk/WebTrack.dll/TrackLink?Version=1&amp;WebTrackAccountName=Flavel&amp;EmailRef=FLD10049732&amp;EmailPatronId=10049961&amp;CustomFields=Stage=FollowedLink&amp;RealURL=https://twitter.com/FlavelArts?utm_source=Oscar%26utm_medium=Email%26utm_campaign=20251212" TargetMode="External"/><Relationship Id="rId4" Type="http://schemas.openxmlformats.org/officeDocument/2006/relationships/hyperlink" Target="https://webtrack.savoysystems.co.uk/WebTrack.dll/TrackLink?Version=1&amp;WebTrackAccountName=Flavel&amp;EmailRef=FLD10049732&amp;EmailPatronId=10049961&amp;CustomFields=Stage=FollowedLink&amp;RealURL=https://theflavel.org.uk/?utm_source=Oscar%26utm_medium=Email%26utm_campaign=20251212" TargetMode="External"/><Relationship Id="rId9" Type="http://schemas.openxmlformats.org/officeDocument/2006/relationships/image" Target="media/image2.png"/><Relationship Id="rId14" Type="http://schemas.openxmlformats.org/officeDocument/2006/relationships/hyperlink" Target="https://webtrack.savoysystems.co.uk/WebTrack.dll/TrackLink?Version=1&amp;WebTrackAccountName=Flavel&amp;EmailRef=FLD10049732&amp;EmailPatronId=10049961&amp;CustomFields=Stage=FollowedLink&amp;RealURL=https://theflavel.org.uk/?utm_source=Oscar%26utm_medium=Email%26utm_campaign=20251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1458</Words>
  <Characters>8314</Characters>
  <Application>Microsoft Office Word</Application>
  <DocSecurity>0</DocSecurity>
  <Lines>69</Lines>
  <Paragraphs>19</Paragraphs>
  <ScaleCrop>false</ScaleCrop>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Downing</dc:creator>
  <cp:keywords/>
  <dc:description/>
  <cp:lastModifiedBy>Ian Downing</cp:lastModifiedBy>
  <cp:revision>2</cp:revision>
  <dcterms:created xsi:type="dcterms:W3CDTF">2026-02-01T13:22:00Z</dcterms:created>
  <dcterms:modified xsi:type="dcterms:W3CDTF">2026-02-01T13:22:00Z</dcterms:modified>
</cp:coreProperties>
</file>